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bCs w:val="1"/>
          <w:sz w:val="40"/>
          <w:szCs w:val="40"/>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Written </w:t>
      </w:r>
      <w:r w:rsidDel="00000000" w:rsidR="00000000" w:rsidRPr="00000000">
        <w:rPr>
          <w:rFonts w:ascii="Calibri" w:cs="Calibri" w:eastAsia="Calibri" w:hAnsi="Calibri"/>
          <w:b w:val="1"/>
          <w:bCs w:val="1"/>
          <w:sz w:val="40"/>
          <w:szCs w:val="40"/>
          <w:rtl w:val="0"/>
        </w:rPr>
        <w:t xml:space="preserve">S</w:t>
      </w: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tatement of </w:t>
      </w:r>
      <w:r w:rsidDel="00000000" w:rsidR="00000000" w:rsidRPr="00000000">
        <w:rPr>
          <w:rFonts w:ascii="Calibri" w:cs="Calibri" w:eastAsia="Calibri" w:hAnsi="Calibri"/>
          <w:b w:val="1"/>
          <w:bCs w:val="1"/>
          <w:sz w:val="40"/>
          <w:szCs w:val="40"/>
          <w:rtl w:val="0"/>
        </w:rPr>
        <w:t xml:space="preserve">B</w:t>
      </w: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ehaviour </w:t>
      </w:r>
      <w:r w:rsidDel="00000000" w:rsidR="00000000" w:rsidRPr="00000000">
        <w:rPr>
          <w:rFonts w:ascii="Calibri" w:cs="Calibri" w:eastAsia="Calibri" w:hAnsi="Calibri"/>
          <w:b w:val="1"/>
          <w:bCs w:val="1"/>
          <w:sz w:val="40"/>
          <w:szCs w:val="40"/>
          <w:rtl w:val="0"/>
        </w:rPr>
        <w:t xml:space="preserve">P</w:t>
      </w: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rinciple</w:t>
      </w:r>
      <w:r w:rsidDel="00000000" w:rsidR="00000000" w:rsidRPr="00000000">
        <w:rPr>
          <w:rFonts w:ascii="Calibri" w:cs="Calibri" w:eastAsia="Calibri" w:hAnsi="Calibri"/>
          <w:b w:val="1"/>
          <w:bCs w:val="1"/>
          <w:sz w:val="40"/>
          <w:szCs w:val="40"/>
          <w:rtl w:val="0"/>
        </w:rPr>
        <w:t xml:space="preserv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at</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Victoria Road Primary School</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cf8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2343630</wp:posOffset>
            </wp:positionH>
            <wp:positionV relativeFrom="paragraph">
              <wp:posOffset>219075</wp:posOffset>
            </wp:positionV>
            <wp:extent cx="1504950" cy="1743075"/>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504950" cy="1743075"/>
                    </a:xfrm>
                    <a:prstGeom prst="rect"/>
                    <a:ln/>
                  </pic:spPr>
                </pic:pic>
              </a:graphicData>
            </a:graphic>
          </wp:anchor>
        </w:drawing>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rPr>
          <w:rFonts w:ascii="Calibri" w:cs="Calibri" w:eastAsia="Calibri" w:hAnsi="Calibri"/>
          <w:sz w:val="24"/>
          <w:szCs w:val="24"/>
        </w:rPr>
      </w:pPr>
      <w:r w:rsidDel="00000000" w:rsidR="00000000" w:rsidRPr="00000000">
        <w:rPr>
          <w:rtl w:val="0"/>
        </w:rPr>
      </w:r>
    </w:p>
    <w:tbl>
      <w:tblPr>
        <w:tblStyle w:val="Table1"/>
        <w:tblW w:w="9720.000000000002" w:type="dxa"/>
        <w:jc w:val="left"/>
        <w:tblInd w:w="-6.999999999999993" w:type="dxa"/>
        <w:tblBorders>
          <w:top w:color="b9b9b9" w:space="0" w:sz="4" w:val="single"/>
          <w:left w:color="b9b9b9" w:space="0" w:sz="4" w:val="single"/>
          <w:bottom w:color="b9b9b9" w:space="0" w:sz="4" w:val="single"/>
          <w:right w:color="b9b9b9" w:space="0" w:sz="4" w:val="single"/>
          <w:insideH w:color="ffffff" w:space="0" w:sz="18" w:val="single"/>
          <w:insideV w:color="b9b9b9" w:space="0" w:sz="4" w:val="single"/>
        </w:tblBorders>
        <w:tblLayout w:type="fixed"/>
        <w:tblLook w:val="0400"/>
      </w:tblPr>
      <w:tblGrid>
        <w:gridCol w:w="2586"/>
        <w:gridCol w:w="3268"/>
        <w:gridCol w:w="3866"/>
        <w:tblGridChange w:id="0">
          <w:tblGrid>
            <w:gridCol w:w="2586"/>
            <w:gridCol w:w="3268"/>
            <w:gridCol w:w="3866"/>
          </w:tblGrid>
        </w:tblGridChange>
      </w:tblGrid>
      <w:tr>
        <w:trPr>
          <w:cantSplit w:val="1"/>
          <w:tblHeader w:val="0"/>
        </w:trPr>
        <w:tc>
          <w:tcPr>
            <w:tcBorders>
              <w:top w:color="000000" w:space="0" w:sz="0" w:val="nil"/>
              <w:bottom w:color="ffffff" w:space="0" w:sz="18" w:val="single"/>
            </w:tcBorders>
            <w:shd w:fill="d8dfde"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Approved by:</w:t>
            </w:r>
          </w:p>
        </w:tc>
        <w:tc>
          <w:tcPr>
            <w:tcBorders>
              <w:top w:color="000000" w:space="0" w:sz="0" w:val="nil"/>
              <w:bottom w:color="ffffff" w:space="0" w:sz="18" w:val="single"/>
            </w:tcBorders>
            <w:shd w:fill="d8dfde"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Calibri" w:cs="Calibri" w:eastAsia="Calibri" w:hAnsi="Calibri"/>
                <w:b w:val="0"/>
                <w:bCs w:val="0"/>
                <w:i w:val="0"/>
                <w:iCs w:val="0"/>
                <w:smallCaps w:val="0"/>
                <w:strike w:val="0"/>
                <w:color w:val="000000"/>
                <w:sz w:val="28"/>
                <w:szCs w:val="28"/>
                <w:u w:val="none"/>
                <w:vertAlign w:val="baseline"/>
              </w:rPr>
            </w:pPr>
            <w:r w:rsidDel="00000000" w:rsidR="00000000" w:rsidRPr="00000000">
              <w:rPr>
                <w:rFonts w:ascii="Calibri" w:cs="Calibri" w:eastAsia="Calibri" w:hAnsi="Calibri"/>
                <w:sz w:val="28"/>
                <w:szCs w:val="28"/>
                <w:rtl w:val="0"/>
              </w:rPr>
              <w:t xml:space="preserve">Full Governing Body </w:t>
            </w:r>
            <w:r w:rsidDel="00000000" w:rsidR="00000000" w:rsidRPr="00000000">
              <w:rPr>
                <w:rtl w:val="0"/>
              </w:rPr>
            </w:r>
          </w:p>
        </w:tc>
        <w:tc>
          <w:tcPr>
            <w:tcBorders>
              <w:top w:color="000000" w:space="0" w:sz="0" w:val="nil"/>
              <w:bottom w:color="ffffff" w:space="0" w:sz="18" w:val="single"/>
            </w:tcBorders>
            <w:shd w:fill="d8dfde"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Date:  Summer Term 202</w:t>
            </w:r>
            <w:r w:rsidDel="00000000" w:rsidR="00000000" w:rsidRPr="00000000">
              <w:rPr>
                <w:rFonts w:ascii="Calibri" w:cs="Calibri" w:eastAsia="Calibri" w:hAnsi="Calibri"/>
                <w:sz w:val="28"/>
                <w:szCs w:val="28"/>
                <w:rtl w:val="0"/>
              </w:rPr>
              <w:t xml:space="preserve">6</w:t>
            </w:r>
            <w:r w:rsidDel="00000000" w:rsidR="00000000" w:rsidRPr="00000000">
              <w:rPr>
                <w:rtl w:val="0"/>
              </w:rPr>
            </w:r>
          </w:p>
        </w:tc>
      </w:tr>
    </w:tbl>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4294967287" distT="4294967287" distL="114300" distR="114300" hidden="0" layoutInCell="1" locked="0" relativeHeight="0" simplePos="0">
                <wp:simplePos x="0" y="0"/>
                <wp:positionH relativeFrom="column">
                  <wp:posOffset>-12697</wp:posOffset>
                </wp:positionH>
                <wp:positionV relativeFrom="paragraph">
                  <wp:posOffset>30490</wp:posOffset>
                </wp:positionV>
                <wp:extent cx="12700" cy="127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87" distT="4294967287" distL="114300" distR="114300" hidden="0" layoutInCell="1" locked="0" relativeHeight="0" simplePos="0">
                <wp:simplePos x="0" y="0"/>
                <wp:positionH relativeFrom="column">
                  <wp:posOffset>-12697</wp:posOffset>
                </wp:positionH>
                <wp:positionV relativeFrom="paragraph">
                  <wp:posOffset>30490</wp:posOffset>
                </wp:positionV>
                <wp:extent cx="12700" cy="12700"/>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22">
      <w:pPr>
        <w:pStyle w:val="Heading1"/>
        <w:rPr>
          <w:rFonts w:ascii="Calibri" w:cs="Calibri" w:eastAsia="Calibri" w:hAnsi="Calibri"/>
          <w:color w:val="000000"/>
          <w:sz w:val="24"/>
          <w:szCs w:val="24"/>
        </w:rPr>
      </w:pPr>
      <w:bookmarkStart w:colFirst="0" w:colLast="0" w:name="_heading=h.30j0zll" w:id="1"/>
      <w:bookmarkEnd w:id="1"/>
      <w:r w:rsidDel="00000000" w:rsidR="00000000" w:rsidRPr="00000000">
        <w:rPr>
          <w:rFonts w:ascii="Calibri" w:cs="Calibri" w:eastAsia="Calibri" w:hAnsi="Calibri"/>
          <w:color w:val="000000"/>
          <w:sz w:val="24"/>
          <w:szCs w:val="24"/>
          <w:rtl w:val="0"/>
        </w:rPr>
        <w:t xml:space="preserve">Written statement of behaviour principles at Victoria Road Primary School</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is a statement of principles, not practice. Practical applications of these principles are the responsibility of the Headteacher.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444444"/>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Governors at Victoria Road Primary School, believe that high standards of behaviour lie at the heart of a successful school and enable children to make the best possible progress in all aspects of their school life</w:t>
      </w:r>
      <w:r w:rsidDel="00000000" w:rsidR="00000000" w:rsidRPr="00000000">
        <w:rPr>
          <w:rFonts w:ascii="Calibri" w:cs="Calibri" w:eastAsia="Calibri" w:hAnsi="Calibri"/>
          <w:b w:val="0"/>
          <w:bCs w:val="0"/>
          <w:i w:val="0"/>
          <w:iCs w:val="0"/>
          <w:smallCaps w:val="0"/>
          <w:strike w:val="0"/>
          <w:color w:val="444444"/>
          <w:sz w:val="24"/>
          <w:szCs w:val="24"/>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225" w:before="24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purpose of this statement is to give guidance to the Headteacher in drawing up the behaviour policy by stating the principles the Governors expect to be followed. The Headteacher has a duty to publish the statement on the school website.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Headteacher will develop the Behaviour Policy with reference to the DfE guidance documents.</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Principles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All children, staff and visitors have the right to feel safe, valued and respected, and learn free from the disruption of others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Victoria Road</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Primary is an inclusive school and all pupils, staff and visitors are free from any form of discrimination</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Staff and volunteers set an excellent example to pupils at all times</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Rewards, sanctions and reasonable force are known, understood and used consistently by staff, in line with the behaviour policy</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Governors would like to see a wide range of rewards, consistently and fairly applied in such a way to reward good behaviour around the school</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behaviour policy and associated school rules are understood by pupils and staff</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It is recognised that the use of rewards and sanctions must have regards to the individual situation and the individual student and the Headteacher is expected to use their discretion in their use. Sanctions however should be applied fairly, consistently, proportionally and reasonably, taking into account SEND, disability and the needs of vulnerable children, offering support as necessary </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behaviour policy explains that exclusions will only be used as a last resort, and outlines the processes involved in permanent and fixed-term exclusions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Pupils are helped to take responsibility for their actions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Governors expect pupils and parents to cooperate to maintain an orderly climate for learning.</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Families are involved in behaviour incidents to foster good relationships between the school and pupils’ home life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225" w:before="240" w:line="240" w:lineRule="auto"/>
        <w:ind w:left="0" w:right="0" w:firstLine="0"/>
        <w:jc w:val="left"/>
        <w:rPr>
          <w:rFonts w:ascii="Calibri" w:cs="Calibri" w:eastAsia="Calibri" w:hAnsi="Calibri"/>
          <w:b w:val="0"/>
          <w:bCs w:val="0"/>
          <w:i w:val="0"/>
          <w:iCs w:val="0"/>
          <w:smallCaps w:val="0"/>
          <w:strike w:val="0"/>
          <w:color w:val="444444"/>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governing board also emphasises that violence or threatening behaviour will not be tolerated in any circumstances.</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This written statement of behaviour principles is reviewed and approved by the full governing body of Victoria Road Primary School annually.</w:t>
      </w:r>
    </w:p>
    <w:sectPr>
      <w:headerReference r:id="rId9" w:type="default"/>
      <w:headerReference r:id="rId10" w:type="first"/>
      <w:headerReference r:id="rId11" w:type="even"/>
      <w:footerReference r:id="rId12"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9781.0" w:type="dxa"/>
      <w:jc w:val="left"/>
      <w:tblBorders>
        <w:top w:color="ff1f64" w:space="0" w:sz="8"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6379"/>
      <w:gridCol w:w="3402"/>
      <w:tblGridChange w:id="0">
        <w:tblGrid>
          <w:gridCol w:w="6379"/>
          <w:gridCol w:w="3402"/>
        </w:tblGrid>
      </w:tblGridChange>
    </w:tblGrid>
    <w:tr>
      <w:trPr>
        <w:cantSplit w:val="1"/>
        <w:tblHeader w:val="0"/>
      </w:trPr>
      <w:tc>
        <w:tcPr>
          <w:shd w:fill="auto" w:val="clear"/>
        </w:tcPr>
        <w:p w:rsidR="00000000" w:rsidDel="00000000" w:rsidP="00000000" w:rsidRDefault="00000000" w:rsidRPr="00000000" w14:paraId="0000003F">
          <w:pPr>
            <w:shd w:fill="ffffff" w:val="clear"/>
            <w:rPr>
              <w:color w:val="808080"/>
              <w:sz w:val="16"/>
              <w:szCs w:val="16"/>
            </w:rPr>
          </w:pPr>
          <w:r w:rsidDel="00000000" w:rsidR="00000000" w:rsidRPr="00000000">
            <w:rPr>
              <w:color w:val="808080"/>
              <w:sz w:val="16"/>
              <w:szCs w:val="16"/>
              <w:rtl w:val="0"/>
            </w:rPr>
            <w:t xml:space="preserve">© The Key Support Services Ltd | For terms of use, visit </w:t>
          </w:r>
          <w:hyperlink r:id="rId1">
            <w:r w:rsidDel="00000000" w:rsidR="00000000" w:rsidRPr="00000000">
              <w:rPr>
                <w:color w:val="808080"/>
                <w:sz w:val="16"/>
                <w:szCs w:val="16"/>
                <w:u w:val="single"/>
                <w:rtl w:val="0"/>
              </w:rPr>
              <w:t xml:space="preserve">thekeysupport.com/terms</w:t>
            </w:r>
          </w:hyperlink>
          <w:r w:rsidDel="00000000" w:rsidR="00000000" w:rsidRPr="00000000">
            <w:rPr>
              <w:rtl w:val="0"/>
            </w:rPr>
          </w:r>
        </w:p>
      </w:tc>
      <w:tc>
        <w:tcPr/>
        <w:p w:rsidR="00000000" w:rsidDel="00000000" w:rsidP="00000000" w:rsidRDefault="00000000" w:rsidRPr="00000000" w14:paraId="00000040">
          <w:pPr>
            <w:shd w:fill="ffffff" w:val="clear"/>
            <w:rPr>
              <w:color w:val="bfbfbf"/>
              <w:sz w:val="17"/>
              <w:szCs w:val="17"/>
            </w:rPr>
          </w:pPr>
          <w:r w:rsidDel="00000000" w:rsidR="00000000" w:rsidRPr="00000000">
            <w:rPr>
              <w:rtl w:val="0"/>
            </w:rPr>
          </w:r>
        </w:p>
      </w:tc>
    </w:tr>
  </w:tbl>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2" name="image2.png"/>
          <a:graphic>
            <a:graphicData uri="http://schemas.openxmlformats.org/drawingml/2006/picture">
              <pic:pic>
                <pic:nvPicPr>
                  <pic:cNvPr descr="keydocs-background-banner" id="0" name="image2.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2" o:title="image1.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20" w:lineRule="auto"/>
    </w:pPr>
    <w:rPr>
      <w:b w:val="1"/>
      <w:bCs w:val="1"/>
      <w:color w:val="008fe1"/>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3.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TcxAD0fSsQizsafix2Pztld3Lg==">CgMxLjAyCGguZ2pkZ3hzMgloLjMwajB6bGw4AHIhMUl4NE55QmRVXzJfZlEyZ0NaeWx6SFh2ZHppb05CeXFn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